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8"/>
        <w:gridCol w:w="8910"/>
      </w:tblGrid>
      <w:tr w:rsidR="00B57ADD" w:rsidTr="006631FA">
        <w:trPr>
          <w:trHeight w:val="620"/>
        </w:trPr>
        <w:tc>
          <w:tcPr>
            <w:tcW w:w="1278" w:type="dxa"/>
            <w:vMerge w:val="restart"/>
            <w:shd w:val="clear" w:color="auto" w:fill="auto"/>
          </w:tcPr>
          <w:p w:rsidR="00B57ADD" w:rsidRPr="00EA51FC" w:rsidRDefault="00DC3D7B" w:rsidP="00B57ADD">
            <w:pPr>
              <w:ind w:left="-180" w:right="-30"/>
              <w:rPr>
                <w:b/>
                <w:sz w:val="36"/>
                <w:szCs w:val="36"/>
              </w:rPr>
            </w:pPr>
            <w:r>
              <w:rPr>
                <w:b/>
                <w:noProof/>
                <w:sz w:val="36"/>
                <w:szCs w:val="36"/>
              </w:rPr>
              <w:drawing>
                <wp:inline distT="0" distB="0" distL="0" distR="0">
                  <wp:extent cx="857250" cy="1963997"/>
                  <wp:effectExtent l="19050" t="0" r="0" b="0"/>
                  <wp:docPr id="13" name="Picture 2" descr="C:\Documents and Settings\lsturm\Desktop\blueRibb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sturm\Desktop\blueRibbon3.jpg"/>
                          <pic:cNvPicPr>
                            <a:picLocks noChangeAspect="1" noChangeArrowheads="1"/>
                          </pic:cNvPicPr>
                        </pic:nvPicPr>
                        <pic:blipFill>
                          <a:blip r:embed="rId7" cstate="print"/>
                          <a:srcRect l="4567" t="6006" r="34262" b="9394"/>
                          <a:stretch>
                            <a:fillRect/>
                          </a:stretch>
                        </pic:blipFill>
                        <pic:spPr bwMode="auto">
                          <a:xfrm>
                            <a:off x="0" y="0"/>
                            <a:ext cx="857099" cy="1963652"/>
                          </a:xfrm>
                          <a:prstGeom prst="rect">
                            <a:avLst/>
                          </a:prstGeom>
                          <a:noFill/>
                          <a:ln w="9525">
                            <a:noFill/>
                            <a:miter lim="800000"/>
                            <a:headEnd/>
                            <a:tailEnd/>
                          </a:ln>
                        </pic:spPr>
                      </pic:pic>
                    </a:graphicData>
                  </a:graphic>
                </wp:inline>
              </w:drawing>
            </w:r>
          </w:p>
        </w:tc>
        <w:tc>
          <w:tcPr>
            <w:tcW w:w="8910" w:type="dxa"/>
            <w:shd w:val="clear" w:color="auto" w:fill="C6D9F1" w:themeFill="text2" w:themeFillTint="33"/>
          </w:tcPr>
          <w:p w:rsidR="00B57ADD" w:rsidRPr="00B57ADD" w:rsidRDefault="00530FE4" w:rsidP="00EA51FC">
            <w:pPr>
              <w:jc w:val="center"/>
              <w:rPr>
                <w:b/>
                <w:color w:val="0070C0"/>
                <w:sz w:val="40"/>
                <w:szCs w:val="40"/>
              </w:rPr>
            </w:pPr>
            <w:r w:rsidRPr="00530FE4">
              <w:rPr>
                <w:b/>
                <w:color w:val="0070C0"/>
                <w:sz w:val="40"/>
                <w:szCs w:val="40"/>
              </w:rPr>
              <w:t>Injury Prevention – Motor Vehicle Safety</w:t>
            </w:r>
          </w:p>
        </w:tc>
      </w:tr>
      <w:tr w:rsidR="00B57ADD" w:rsidTr="006631FA">
        <w:trPr>
          <w:trHeight w:val="1455"/>
        </w:trPr>
        <w:tc>
          <w:tcPr>
            <w:tcW w:w="1278" w:type="dxa"/>
            <w:vMerge/>
            <w:shd w:val="clear" w:color="auto" w:fill="auto"/>
          </w:tcPr>
          <w:p w:rsidR="00B57ADD" w:rsidRDefault="00B57ADD" w:rsidP="00EA51FC">
            <w:pPr>
              <w:jc w:val="center"/>
              <w:rPr>
                <w:b/>
                <w:noProof/>
                <w:sz w:val="36"/>
                <w:szCs w:val="36"/>
              </w:rPr>
            </w:pPr>
          </w:p>
        </w:tc>
        <w:tc>
          <w:tcPr>
            <w:tcW w:w="8910" w:type="dxa"/>
            <w:shd w:val="clear" w:color="auto" w:fill="FFFFFF" w:themeFill="background1"/>
          </w:tcPr>
          <w:p w:rsidR="00530FE4" w:rsidRPr="00530FE4" w:rsidRDefault="00530FE4" w:rsidP="00530FE4">
            <w:pPr>
              <w:rPr>
                <w:bCs/>
              </w:rPr>
            </w:pPr>
            <w:r w:rsidRPr="00530FE4">
              <w:rPr>
                <w:bCs/>
              </w:rPr>
              <w:t>Motor vehicle crashes are among the leading causes of injury death and hospitalization in Colorado. Each year, more than 300 motor vehicle occupants (drivers or passengers) die in motor vehicle crashes and nearly</w:t>
            </w:r>
            <w:r w:rsidR="00DE578A">
              <w:rPr>
                <w:bCs/>
              </w:rPr>
              <w:t xml:space="preserve"> 2,500 are hospitalized for non</w:t>
            </w:r>
            <w:r w:rsidRPr="00530FE4">
              <w:rPr>
                <w:bCs/>
              </w:rPr>
              <w:t>fatal injuries.</w:t>
            </w:r>
          </w:p>
          <w:p w:rsidR="00B57ADD" w:rsidRPr="00EA51FC" w:rsidRDefault="00B57ADD" w:rsidP="00EA51FC">
            <w:pPr>
              <w:jc w:val="center"/>
              <w:rPr>
                <w:b/>
                <w:sz w:val="36"/>
                <w:szCs w:val="36"/>
              </w:rPr>
            </w:pPr>
          </w:p>
        </w:tc>
      </w:tr>
      <w:tr w:rsidR="00EA51FC" w:rsidTr="006631FA">
        <w:tc>
          <w:tcPr>
            <w:tcW w:w="10188" w:type="dxa"/>
            <w:gridSpan w:val="2"/>
            <w:shd w:val="clear" w:color="auto" w:fill="C6D9F1" w:themeFill="text2" w:themeFillTint="33"/>
          </w:tcPr>
          <w:p w:rsidR="00EA51FC" w:rsidRPr="00B57ADD" w:rsidRDefault="00EA51FC" w:rsidP="00EA51FC">
            <w:pPr>
              <w:jc w:val="center"/>
              <w:rPr>
                <w:b/>
                <w:color w:val="0070C0"/>
                <w:sz w:val="28"/>
                <w:szCs w:val="28"/>
              </w:rPr>
            </w:pPr>
            <w:r w:rsidRPr="00B57ADD">
              <w:rPr>
                <w:b/>
                <w:color w:val="0070C0"/>
                <w:sz w:val="28"/>
                <w:szCs w:val="28"/>
              </w:rPr>
              <w:t>Why is this important?</w:t>
            </w:r>
          </w:p>
        </w:tc>
      </w:tr>
      <w:tr w:rsidR="00EA51FC" w:rsidTr="006631FA">
        <w:tc>
          <w:tcPr>
            <w:tcW w:w="10188" w:type="dxa"/>
            <w:gridSpan w:val="2"/>
            <w:shd w:val="clear" w:color="auto" w:fill="FFFFFF" w:themeFill="background1"/>
          </w:tcPr>
          <w:p w:rsidR="00530FE4" w:rsidRPr="00530FE4" w:rsidRDefault="00530FE4" w:rsidP="00530FE4">
            <w:pPr>
              <w:rPr>
                <w:bCs/>
              </w:rPr>
            </w:pPr>
            <w:r w:rsidRPr="00530FE4">
              <w:rPr>
                <w:bCs/>
              </w:rPr>
              <w:t>Hundreds of Coloradans are killed each year in preventable motor vehicle crashes. In addition to the human toll, deaths and injuries from motor vehicle crashes have high societal costs. Research from the Centers for Disease Control and Prevention and the National Highway Traffic Safety Administration indicates motor vehicle crash deaths and injuries annually result in medical costs of more than $103 million in Colorado.</w:t>
            </w:r>
          </w:p>
          <w:p w:rsidR="00530FE4" w:rsidRPr="00530FE4" w:rsidRDefault="00530FE4" w:rsidP="00530FE4">
            <w:pPr>
              <w:rPr>
                <w:bCs/>
              </w:rPr>
            </w:pPr>
            <w:r w:rsidRPr="00530FE4">
              <w:rPr>
                <w:bCs/>
              </w:rPr>
              <w:t xml:space="preserve"> </w:t>
            </w:r>
          </w:p>
          <w:p w:rsidR="00530FE4" w:rsidRPr="00530FE4" w:rsidRDefault="00530FE4" w:rsidP="00530FE4">
            <w:pPr>
              <w:rPr>
                <w:bCs/>
              </w:rPr>
            </w:pPr>
            <w:r w:rsidRPr="00530FE4">
              <w:rPr>
                <w:bCs/>
              </w:rPr>
              <w:t xml:space="preserve">Colorado can reduce the number of injuries and deaths and their associated costs by implementing effective programs and policies.  </w:t>
            </w:r>
          </w:p>
          <w:p w:rsidR="00EA51FC" w:rsidRPr="00EA51FC" w:rsidRDefault="00EA51FC" w:rsidP="00EA51FC">
            <w:pPr>
              <w:rPr>
                <w:b/>
              </w:rPr>
            </w:pPr>
          </w:p>
        </w:tc>
      </w:tr>
      <w:tr w:rsidR="00EA51FC" w:rsidTr="006631FA">
        <w:tc>
          <w:tcPr>
            <w:tcW w:w="10188" w:type="dxa"/>
            <w:gridSpan w:val="2"/>
            <w:shd w:val="clear" w:color="auto" w:fill="C6D9F1" w:themeFill="text2" w:themeFillTint="33"/>
          </w:tcPr>
          <w:p w:rsidR="00EA51FC" w:rsidRPr="00B57ADD" w:rsidRDefault="00EA51FC" w:rsidP="00EA51FC">
            <w:pPr>
              <w:jc w:val="center"/>
              <w:rPr>
                <w:b/>
                <w:color w:val="0070C0"/>
                <w:sz w:val="28"/>
                <w:szCs w:val="28"/>
              </w:rPr>
            </w:pPr>
            <w:r w:rsidRPr="00B57ADD">
              <w:rPr>
                <w:b/>
                <w:color w:val="0070C0"/>
                <w:sz w:val="28"/>
                <w:szCs w:val="28"/>
              </w:rPr>
              <w:t>Where are we?</w:t>
            </w:r>
          </w:p>
        </w:tc>
      </w:tr>
    </w:tbl>
    <w:p w:rsidR="000B56A7" w:rsidRDefault="000B56A7" w:rsidP="00EA51FC">
      <w:pPr>
        <w:sectPr w:rsidR="000B56A7" w:rsidSect="006631FA">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pPr>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16"/>
      </w:tblGrid>
      <w:tr w:rsidR="00EA51FC" w:rsidTr="000B56A7">
        <w:trPr>
          <w:trHeight w:val="3660"/>
        </w:trPr>
        <w:tc>
          <w:tcPr>
            <w:tcW w:w="10116" w:type="dxa"/>
            <w:shd w:val="clear" w:color="auto" w:fill="FFFFFF" w:themeFill="background1"/>
          </w:tcPr>
          <w:p w:rsidR="00EA51FC" w:rsidRDefault="00EA51FC" w:rsidP="00EA51FC"/>
          <w:p w:rsidR="0028536B" w:rsidRDefault="00970C96" w:rsidP="00EA51FC">
            <w:r w:rsidRPr="00970C96">
              <w:rPr>
                <w:noProof/>
              </w:rPr>
              <w:drawing>
                <wp:inline distT="0" distB="0" distL="0" distR="0">
                  <wp:extent cx="3173730" cy="2171700"/>
                  <wp:effectExtent l="19050" t="0" r="762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6115110"/>
                            <a:chOff x="381000" y="457200"/>
                            <a:chExt cx="8382000" cy="6115110"/>
                          </a:xfrm>
                        </a:grpSpPr>
                        <a:sp>
                          <a:nvSpPr>
                            <a:cNvPr id="5" name="Rectangle 6"/>
                            <a:cNvSpPr>
                              <a:spLocks noChangeArrowheads="1"/>
                            </a:cNvSpPr>
                          </a:nvSpPr>
                          <a:spPr bwMode="auto">
                            <a:xfrm>
                              <a:off x="1752600" y="6172200"/>
                              <a:ext cx="4671472" cy="400110"/>
                            </a:xfrm>
                            <a:prstGeom prst="rect">
                              <a:avLst/>
                            </a:prstGeom>
                            <a:noFill/>
                            <a:ln w="9525">
                              <a:noFill/>
                              <a:miter lim="800000"/>
                              <a:headEnd/>
                              <a:tailEnd/>
                            </a:ln>
                            <a:effectLst/>
                          </a:spPr>
                          <a:txSp>
                            <a:txBody>
                              <a:bodyPr wrap="none">
                                <a:spAutoFit/>
                              </a:bodyPr>
                              <a:lstStyle>
                                <a:defPPr>
                                  <a:defRPr lang="en-US"/>
                                </a:defPPr>
                                <a:lvl1pPr algn="l" rtl="0" fontAlgn="base">
                                  <a:spcBef>
                                    <a:spcPct val="0"/>
                                  </a:spcBef>
                                  <a:spcAft>
                                    <a:spcPct val="0"/>
                                  </a:spcAft>
                                  <a:defRPr sz="1000" kern="1200">
                                    <a:solidFill>
                                      <a:schemeClr val="tx1"/>
                                    </a:solidFill>
                                    <a:latin typeface="Times New Roman" charset="0"/>
                                    <a:ea typeface="+mn-ea"/>
                                    <a:cs typeface="+mn-cs"/>
                                  </a:defRPr>
                                </a:lvl1pPr>
                                <a:lvl2pPr marL="457200" algn="l" rtl="0" fontAlgn="base">
                                  <a:spcBef>
                                    <a:spcPct val="0"/>
                                  </a:spcBef>
                                  <a:spcAft>
                                    <a:spcPct val="0"/>
                                  </a:spcAft>
                                  <a:defRPr sz="1000" kern="1200">
                                    <a:solidFill>
                                      <a:schemeClr val="tx1"/>
                                    </a:solidFill>
                                    <a:latin typeface="Times New Roman" charset="0"/>
                                    <a:ea typeface="+mn-ea"/>
                                    <a:cs typeface="+mn-cs"/>
                                  </a:defRPr>
                                </a:lvl2pPr>
                                <a:lvl3pPr marL="914400" algn="l" rtl="0" fontAlgn="base">
                                  <a:spcBef>
                                    <a:spcPct val="0"/>
                                  </a:spcBef>
                                  <a:spcAft>
                                    <a:spcPct val="0"/>
                                  </a:spcAft>
                                  <a:defRPr sz="1000" kern="1200">
                                    <a:solidFill>
                                      <a:schemeClr val="tx1"/>
                                    </a:solidFill>
                                    <a:latin typeface="Times New Roman" charset="0"/>
                                    <a:ea typeface="+mn-ea"/>
                                    <a:cs typeface="+mn-cs"/>
                                  </a:defRPr>
                                </a:lvl3pPr>
                                <a:lvl4pPr marL="1371600" algn="l" rtl="0" fontAlgn="base">
                                  <a:spcBef>
                                    <a:spcPct val="0"/>
                                  </a:spcBef>
                                  <a:spcAft>
                                    <a:spcPct val="0"/>
                                  </a:spcAft>
                                  <a:defRPr sz="1000" kern="1200">
                                    <a:solidFill>
                                      <a:schemeClr val="tx1"/>
                                    </a:solidFill>
                                    <a:latin typeface="Times New Roman" charset="0"/>
                                    <a:ea typeface="+mn-ea"/>
                                    <a:cs typeface="+mn-cs"/>
                                  </a:defRPr>
                                </a:lvl4pPr>
                                <a:lvl5pPr marL="1828800" algn="l" rtl="0" fontAlgn="base">
                                  <a:spcBef>
                                    <a:spcPct val="0"/>
                                  </a:spcBef>
                                  <a:spcAft>
                                    <a:spcPct val="0"/>
                                  </a:spcAft>
                                  <a:defRPr sz="1000" kern="1200">
                                    <a:solidFill>
                                      <a:schemeClr val="tx1"/>
                                    </a:solidFill>
                                    <a:latin typeface="Times New Roman" charset="0"/>
                                    <a:ea typeface="+mn-ea"/>
                                    <a:cs typeface="+mn-cs"/>
                                  </a:defRPr>
                                </a:lvl5pPr>
                                <a:lvl6pPr marL="2286000" algn="l" defTabSz="914400" rtl="0" eaLnBrk="1" latinLnBrk="0" hangingPunct="1">
                                  <a:defRPr sz="1000" kern="1200">
                                    <a:solidFill>
                                      <a:schemeClr val="tx1"/>
                                    </a:solidFill>
                                    <a:latin typeface="Times New Roman" charset="0"/>
                                    <a:ea typeface="+mn-ea"/>
                                    <a:cs typeface="+mn-cs"/>
                                  </a:defRPr>
                                </a:lvl6pPr>
                                <a:lvl7pPr marL="2743200" algn="l" defTabSz="914400" rtl="0" eaLnBrk="1" latinLnBrk="0" hangingPunct="1">
                                  <a:defRPr sz="1000" kern="1200">
                                    <a:solidFill>
                                      <a:schemeClr val="tx1"/>
                                    </a:solidFill>
                                    <a:latin typeface="Times New Roman" charset="0"/>
                                    <a:ea typeface="+mn-ea"/>
                                    <a:cs typeface="+mn-cs"/>
                                  </a:defRPr>
                                </a:lvl7pPr>
                                <a:lvl8pPr marL="3200400" algn="l" defTabSz="914400" rtl="0" eaLnBrk="1" latinLnBrk="0" hangingPunct="1">
                                  <a:defRPr sz="1000" kern="1200">
                                    <a:solidFill>
                                      <a:schemeClr val="tx1"/>
                                    </a:solidFill>
                                    <a:latin typeface="Times New Roman" charset="0"/>
                                    <a:ea typeface="+mn-ea"/>
                                    <a:cs typeface="+mn-cs"/>
                                  </a:defRPr>
                                </a:lvl8pPr>
                                <a:lvl9pPr marL="3657600" algn="l" defTabSz="914400" rtl="0" eaLnBrk="1" latinLnBrk="0" hangingPunct="1">
                                  <a:defRPr sz="1000" kern="1200">
                                    <a:solidFill>
                                      <a:schemeClr val="tx1"/>
                                    </a:solidFill>
                                    <a:latin typeface="Times New Roman" charset="0"/>
                                    <a:ea typeface="+mn-ea"/>
                                    <a:cs typeface="+mn-cs"/>
                                  </a:defRPr>
                                </a:lvl9pPr>
                              </a:lstStyle>
                              <a:p>
                                <a:r>
                                  <a:rPr lang="en-US" dirty="0">
                                    <a:latin typeface="Arial" pitchFamily="34" charset="0"/>
                                    <a:cs typeface="Arial" pitchFamily="34" charset="0"/>
                                  </a:rPr>
                                  <a:t>*Rates are per 100,000 teens ages 15-19</a:t>
                                </a:r>
                              </a:p>
                              <a:p>
                                <a:r>
                                  <a:rPr lang="en-US" dirty="0">
                                    <a:latin typeface="Arial" pitchFamily="34" charset="0"/>
                                    <a:cs typeface="Arial" pitchFamily="34" charset="0"/>
                                  </a:rPr>
                                  <a:t>Source: </a:t>
                                </a:r>
                                <a:r>
                                  <a:rPr lang="en-US" dirty="0" smtClean="0">
                                    <a:latin typeface="Arial" pitchFamily="34" charset="0"/>
                                    <a:cs typeface="Arial" pitchFamily="34" charset="0"/>
                                  </a:rPr>
                                  <a:t>Vital Statistics, Colorado </a:t>
                                </a:r>
                                <a:r>
                                  <a:rPr lang="en-US" dirty="0">
                                    <a:latin typeface="Arial" pitchFamily="34" charset="0"/>
                                    <a:cs typeface="Arial" pitchFamily="34" charset="0"/>
                                  </a:rPr>
                                  <a:t>Department of Public Health and Environment</a:t>
                                </a:r>
                              </a:p>
                            </a:txBody>
                            <a:useSpRect/>
                          </a:txSp>
                        </a:sp>
                        <a:graphicFrame>
                          <a:nvGraphicFramePr>
                            <a:cNvPr id="6" name="Chart 5"/>
                            <a:cNvGraphicFramePr/>
                          </a:nvGraphicFramePr>
                          <a:graphic>
                            <a:graphicData uri="http://schemas.openxmlformats.org/drawingml/2006/chart">
                              <c:chart xmlns:c="http://schemas.openxmlformats.org/drawingml/2006/chart" xmlns:r="http://schemas.openxmlformats.org/officeDocument/2006/relationships" r:id="rId14"/>
                            </a:graphicData>
                          </a:graphic>
                          <a:xfrm>
                            <a:off x="381000" y="457200"/>
                            <a:ext cx="8382000" cy="5410200"/>
                          </a:xfrm>
                        </a:graphicFrame>
                      </lc:lockedCanvas>
                    </a:graphicData>
                  </a:graphic>
                </wp:inline>
              </w:drawing>
            </w:r>
          </w:p>
          <w:p w:rsidR="00B57ADD" w:rsidRDefault="00970C96" w:rsidP="00EA51FC">
            <w:r w:rsidRPr="00970C96">
              <w:rPr>
                <w:noProof/>
              </w:rPr>
              <w:lastRenderedPageBreak/>
              <w:drawing>
                <wp:inline distT="0" distB="0" distL="0" distR="0">
                  <wp:extent cx="2964180" cy="2339340"/>
                  <wp:effectExtent l="0" t="0" r="762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81900" cy="5732621"/>
                            <a:chOff x="533400" y="685800"/>
                            <a:chExt cx="7581900" cy="5732621"/>
                          </a:xfrm>
                        </a:grpSpPr>
                        <a:graphicFrame>
                          <a:nvGraphicFramePr>
                            <a:cNvPr id="5" name="Chart 4"/>
                            <a:cNvGraphicFramePr/>
                          </a:nvGraphicFramePr>
                          <a:graphic>
                            <a:graphicData uri="http://schemas.openxmlformats.org/drawingml/2006/chart">
                              <c:chart xmlns:c="http://schemas.openxmlformats.org/drawingml/2006/chart" xmlns:r="http://schemas.openxmlformats.org/officeDocument/2006/relationships" r:id="rId15"/>
                            </a:graphicData>
                          </a:graphic>
                          <a:xfrm>
                            <a:off x="1524000" y="1397000"/>
                            <a:ext cx="6591300" cy="4394200"/>
                          </a:xfrm>
                        </a:graphicFrame>
                        <a:graphicFrame>
                          <a:nvGraphicFramePr>
                            <a:cNvPr id="6" name="Chart 5"/>
                            <a:cNvGraphicFramePr/>
                          </a:nvGraphicFramePr>
                          <a:graphic>
                            <a:graphicData uri="http://schemas.openxmlformats.org/drawingml/2006/chart">
                              <c:chart xmlns:c="http://schemas.openxmlformats.org/drawingml/2006/chart" xmlns:r="http://schemas.openxmlformats.org/officeDocument/2006/relationships" r:id="rId16"/>
                            </a:graphicData>
                          </a:graphic>
                          <a:xfrm>
                            <a:off x="914400" y="1397000"/>
                            <a:ext cx="6705600" cy="4470400"/>
                          </a:xfrm>
                        </a:graphicFrame>
                        <a:sp>
                          <a:nvSpPr>
                            <a:cNvPr id="7" name="TextBox 6"/>
                            <a:cNvSpPr txBox="1"/>
                          </a:nvSpPr>
                          <a:spPr>
                            <a:xfrm>
                              <a:off x="1371600" y="685800"/>
                              <a:ext cx="6410729" cy="400110"/>
                            </a:xfrm>
                            <a:prstGeom prst="rect">
                              <a:avLst/>
                            </a:prstGeom>
                            <a:noFill/>
                          </a:spPr>
                          <a:txSp>
                            <a:txBody>
                              <a:bodyPr wrap="none" rtlCol="0">
                                <a:spAutoFit/>
                              </a:bodyPr>
                              <a:lstStyle>
                                <a:defPPr>
                                  <a:defRPr lang="en-US"/>
                                </a:defPPr>
                                <a:lvl1pPr algn="l" rtl="0" fontAlgn="base">
                                  <a:spcBef>
                                    <a:spcPct val="0"/>
                                  </a:spcBef>
                                  <a:spcAft>
                                    <a:spcPct val="0"/>
                                  </a:spcAft>
                                  <a:defRPr sz="1000" kern="1200">
                                    <a:solidFill>
                                      <a:schemeClr val="tx1"/>
                                    </a:solidFill>
                                    <a:latin typeface="Times New Roman" charset="0"/>
                                    <a:ea typeface="+mn-ea"/>
                                    <a:cs typeface="+mn-cs"/>
                                  </a:defRPr>
                                </a:lvl1pPr>
                                <a:lvl2pPr marL="457200" algn="l" rtl="0" fontAlgn="base">
                                  <a:spcBef>
                                    <a:spcPct val="0"/>
                                  </a:spcBef>
                                  <a:spcAft>
                                    <a:spcPct val="0"/>
                                  </a:spcAft>
                                  <a:defRPr sz="1000" kern="1200">
                                    <a:solidFill>
                                      <a:schemeClr val="tx1"/>
                                    </a:solidFill>
                                    <a:latin typeface="Times New Roman" charset="0"/>
                                    <a:ea typeface="+mn-ea"/>
                                    <a:cs typeface="+mn-cs"/>
                                  </a:defRPr>
                                </a:lvl2pPr>
                                <a:lvl3pPr marL="914400" algn="l" rtl="0" fontAlgn="base">
                                  <a:spcBef>
                                    <a:spcPct val="0"/>
                                  </a:spcBef>
                                  <a:spcAft>
                                    <a:spcPct val="0"/>
                                  </a:spcAft>
                                  <a:defRPr sz="1000" kern="1200">
                                    <a:solidFill>
                                      <a:schemeClr val="tx1"/>
                                    </a:solidFill>
                                    <a:latin typeface="Times New Roman" charset="0"/>
                                    <a:ea typeface="+mn-ea"/>
                                    <a:cs typeface="+mn-cs"/>
                                  </a:defRPr>
                                </a:lvl3pPr>
                                <a:lvl4pPr marL="1371600" algn="l" rtl="0" fontAlgn="base">
                                  <a:spcBef>
                                    <a:spcPct val="0"/>
                                  </a:spcBef>
                                  <a:spcAft>
                                    <a:spcPct val="0"/>
                                  </a:spcAft>
                                  <a:defRPr sz="1000" kern="1200">
                                    <a:solidFill>
                                      <a:schemeClr val="tx1"/>
                                    </a:solidFill>
                                    <a:latin typeface="Times New Roman" charset="0"/>
                                    <a:ea typeface="+mn-ea"/>
                                    <a:cs typeface="+mn-cs"/>
                                  </a:defRPr>
                                </a:lvl4pPr>
                                <a:lvl5pPr marL="1828800" algn="l" rtl="0" fontAlgn="base">
                                  <a:spcBef>
                                    <a:spcPct val="0"/>
                                  </a:spcBef>
                                  <a:spcAft>
                                    <a:spcPct val="0"/>
                                  </a:spcAft>
                                  <a:defRPr sz="1000" kern="1200">
                                    <a:solidFill>
                                      <a:schemeClr val="tx1"/>
                                    </a:solidFill>
                                    <a:latin typeface="Times New Roman" charset="0"/>
                                    <a:ea typeface="+mn-ea"/>
                                    <a:cs typeface="+mn-cs"/>
                                  </a:defRPr>
                                </a:lvl5pPr>
                                <a:lvl6pPr marL="2286000" algn="l" defTabSz="914400" rtl="0" eaLnBrk="1" latinLnBrk="0" hangingPunct="1">
                                  <a:defRPr sz="1000" kern="1200">
                                    <a:solidFill>
                                      <a:schemeClr val="tx1"/>
                                    </a:solidFill>
                                    <a:latin typeface="Times New Roman" charset="0"/>
                                    <a:ea typeface="+mn-ea"/>
                                    <a:cs typeface="+mn-cs"/>
                                  </a:defRPr>
                                </a:lvl6pPr>
                                <a:lvl7pPr marL="2743200" algn="l" defTabSz="914400" rtl="0" eaLnBrk="1" latinLnBrk="0" hangingPunct="1">
                                  <a:defRPr sz="1000" kern="1200">
                                    <a:solidFill>
                                      <a:schemeClr val="tx1"/>
                                    </a:solidFill>
                                    <a:latin typeface="Times New Roman" charset="0"/>
                                    <a:ea typeface="+mn-ea"/>
                                    <a:cs typeface="+mn-cs"/>
                                  </a:defRPr>
                                </a:lvl7pPr>
                                <a:lvl8pPr marL="3200400" algn="l" defTabSz="914400" rtl="0" eaLnBrk="1" latinLnBrk="0" hangingPunct="1">
                                  <a:defRPr sz="1000" kern="1200">
                                    <a:solidFill>
                                      <a:schemeClr val="tx1"/>
                                    </a:solidFill>
                                    <a:latin typeface="Times New Roman" charset="0"/>
                                    <a:ea typeface="+mn-ea"/>
                                    <a:cs typeface="+mn-cs"/>
                                  </a:defRPr>
                                </a:lvl8pPr>
                                <a:lvl9pPr marL="3657600" algn="l" defTabSz="914400" rtl="0" eaLnBrk="1" latinLnBrk="0" hangingPunct="1">
                                  <a:defRPr sz="1000" kern="1200">
                                    <a:solidFill>
                                      <a:schemeClr val="tx1"/>
                                    </a:solidFill>
                                    <a:latin typeface="Times New Roman" charset="0"/>
                                    <a:ea typeface="+mn-ea"/>
                                    <a:cs typeface="+mn-cs"/>
                                  </a:defRPr>
                                </a:lvl9pPr>
                              </a:lstStyle>
                              <a:p>
                                <a:r>
                                  <a:rPr lang="en-US" sz="2000" dirty="0" smtClean="0">
                                    <a:latin typeface="Arial" pitchFamily="34" charset="0"/>
                                    <a:cs typeface="Arial" pitchFamily="34" charset="0"/>
                                  </a:rPr>
                                  <a:t>Colorado seat belt usage annual estimates, 2006-2010</a:t>
                                </a:r>
                                <a:endParaRPr lang="en-US" sz="2000" dirty="0">
                                  <a:latin typeface="Arial" pitchFamily="34" charset="0"/>
                                  <a:cs typeface="Arial" pitchFamily="34" charset="0"/>
                                </a:endParaRPr>
                              </a:p>
                            </a:txBody>
                            <a:useSpRect/>
                          </a:txSp>
                        </a:sp>
                        <a:sp>
                          <a:nvSpPr>
                            <a:cNvPr id="8" name="TextBox 7"/>
                            <a:cNvSpPr txBox="1"/>
                          </a:nvSpPr>
                          <a:spPr>
                            <a:xfrm>
                              <a:off x="990600" y="6172200"/>
                              <a:ext cx="2877711" cy="246221"/>
                            </a:xfrm>
                            <a:prstGeom prst="rect">
                              <a:avLst/>
                            </a:prstGeom>
                            <a:noFill/>
                          </a:spPr>
                          <a:txSp>
                            <a:txBody>
                              <a:bodyPr wrap="none" rtlCol="0">
                                <a:spAutoFit/>
                              </a:bodyPr>
                              <a:lstStyle>
                                <a:defPPr>
                                  <a:defRPr lang="en-US"/>
                                </a:defPPr>
                                <a:lvl1pPr algn="l" rtl="0" fontAlgn="base">
                                  <a:spcBef>
                                    <a:spcPct val="0"/>
                                  </a:spcBef>
                                  <a:spcAft>
                                    <a:spcPct val="0"/>
                                  </a:spcAft>
                                  <a:defRPr sz="1000" kern="1200">
                                    <a:solidFill>
                                      <a:schemeClr val="tx1"/>
                                    </a:solidFill>
                                    <a:latin typeface="Times New Roman" charset="0"/>
                                    <a:ea typeface="+mn-ea"/>
                                    <a:cs typeface="+mn-cs"/>
                                  </a:defRPr>
                                </a:lvl1pPr>
                                <a:lvl2pPr marL="457200" algn="l" rtl="0" fontAlgn="base">
                                  <a:spcBef>
                                    <a:spcPct val="0"/>
                                  </a:spcBef>
                                  <a:spcAft>
                                    <a:spcPct val="0"/>
                                  </a:spcAft>
                                  <a:defRPr sz="1000" kern="1200">
                                    <a:solidFill>
                                      <a:schemeClr val="tx1"/>
                                    </a:solidFill>
                                    <a:latin typeface="Times New Roman" charset="0"/>
                                    <a:ea typeface="+mn-ea"/>
                                    <a:cs typeface="+mn-cs"/>
                                  </a:defRPr>
                                </a:lvl2pPr>
                                <a:lvl3pPr marL="914400" algn="l" rtl="0" fontAlgn="base">
                                  <a:spcBef>
                                    <a:spcPct val="0"/>
                                  </a:spcBef>
                                  <a:spcAft>
                                    <a:spcPct val="0"/>
                                  </a:spcAft>
                                  <a:defRPr sz="1000" kern="1200">
                                    <a:solidFill>
                                      <a:schemeClr val="tx1"/>
                                    </a:solidFill>
                                    <a:latin typeface="Times New Roman" charset="0"/>
                                    <a:ea typeface="+mn-ea"/>
                                    <a:cs typeface="+mn-cs"/>
                                  </a:defRPr>
                                </a:lvl3pPr>
                                <a:lvl4pPr marL="1371600" algn="l" rtl="0" fontAlgn="base">
                                  <a:spcBef>
                                    <a:spcPct val="0"/>
                                  </a:spcBef>
                                  <a:spcAft>
                                    <a:spcPct val="0"/>
                                  </a:spcAft>
                                  <a:defRPr sz="1000" kern="1200">
                                    <a:solidFill>
                                      <a:schemeClr val="tx1"/>
                                    </a:solidFill>
                                    <a:latin typeface="Times New Roman" charset="0"/>
                                    <a:ea typeface="+mn-ea"/>
                                    <a:cs typeface="+mn-cs"/>
                                  </a:defRPr>
                                </a:lvl4pPr>
                                <a:lvl5pPr marL="1828800" algn="l" rtl="0" fontAlgn="base">
                                  <a:spcBef>
                                    <a:spcPct val="0"/>
                                  </a:spcBef>
                                  <a:spcAft>
                                    <a:spcPct val="0"/>
                                  </a:spcAft>
                                  <a:defRPr sz="1000" kern="1200">
                                    <a:solidFill>
                                      <a:schemeClr val="tx1"/>
                                    </a:solidFill>
                                    <a:latin typeface="Times New Roman" charset="0"/>
                                    <a:ea typeface="+mn-ea"/>
                                    <a:cs typeface="+mn-cs"/>
                                  </a:defRPr>
                                </a:lvl5pPr>
                                <a:lvl6pPr marL="2286000" algn="l" defTabSz="914400" rtl="0" eaLnBrk="1" latinLnBrk="0" hangingPunct="1">
                                  <a:defRPr sz="1000" kern="1200">
                                    <a:solidFill>
                                      <a:schemeClr val="tx1"/>
                                    </a:solidFill>
                                    <a:latin typeface="Times New Roman" charset="0"/>
                                    <a:ea typeface="+mn-ea"/>
                                    <a:cs typeface="+mn-cs"/>
                                  </a:defRPr>
                                </a:lvl6pPr>
                                <a:lvl7pPr marL="2743200" algn="l" defTabSz="914400" rtl="0" eaLnBrk="1" latinLnBrk="0" hangingPunct="1">
                                  <a:defRPr sz="1000" kern="1200">
                                    <a:solidFill>
                                      <a:schemeClr val="tx1"/>
                                    </a:solidFill>
                                    <a:latin typeface="Times New Roman" charset="0"/>
                                    <a:ea typeface="+mn-ea"/>
                                    <a:cs typeface="+mn-cs"/>
                                  </a:defRPr>
                                </a:lvl7pPr>
                                <a:lvl8pPr marL="3200400" algn="l" defTabSz="914400" rtl="0" eaLnBrk="1" latinLnBrk="0" hangingPunct="1">
                                  <a:defRPr sz="1000" kern="1200">
                                    <a:solidFill>
                                      <a:schemeClr val="tx1"/>
                                    </a:solidFill>
                                    <a:latin typeface="Times New Roman" charset="0"/>
                                    <a:ea typeface="+mn-ea"/>
                                    <a:cs typeface="+mn-cs"/>
                                  </a:defRPr>
                                </a:lvl8pPr>
                                <a:lvl9pPr marL="3657600" algn="l" defTabSz="914400" rtl="0" eaLnBrk="1" latinLnBrk="0" hangingPunct="1">
                                  <a:defRPr sz="1000" kern="1200">
                                    <a:solidFill>
                                      <a:schemeClr val="tx1"/>
                                    </a:solidFill>
                                    <a:latin typeface="Times New Roman" charset="0"/>
                                    <a:ea typeface="+mn-ea"/>
                                    <a:cs typeface="+mn-cs"/>
                                  </a:defRPr>
                                </a:lvl9pPr>
                              </a:lstStyle>
                              <a:p>
                                <a:r>
                                  <a:rPr lang="en-US" dirty="0" smtClean="0">
                                    <a:latin typeface="Arial" pitchFamily="34" charset="0"/>
                                    <a:cs typeface="Arial" pitchFamily="34" charset="0"/>
                                  </a:rPr>
                                  <a:t>Source: Colorado Department of Transportation</a:t>
                                </a:r>
                                <a:endParaRPr lang="en-US" dirty="0">
                                  <a:latin typeface="Arial" pitchFamily="34" charset="0"/>
                                  <a:cs typeface="Arial" pitchFamily="34" charset="0"/>
                                </a:endParaRPr>
                              </a:p>
                            </a:txBody>
                            <a:useSpRect/>
                          </a:txSp>
                        </a:sp>
                        <a:sp>
                          <a:nvSpPr>
                            <a:cNvPr id="9" name="TextBox 8"/>
                            <a:cNvSpPr txBox="1"/>
                          </a:nvSpPr>
                          <a:spPr>
                            <a:xfrm rot="16200000">
                              <a:off x="256881" y="3095919"/>
                              <a:ext cx="891591" cy="338554"/>
                            </a:xfrm>
                            <a:prstGeom prst="rect">
                              <a:avLst/>
                            </a:prstGeom>
                            <a:noFill/>
                          </a:spPr>
                          <a:txSp>
                            <a:txBody>
                              <a:bodyPr wrap="square" rtlCol="0">
                                <a:spAutoFit/>
                              </a:bodyPr>
                              <a:lstStyle>
                                <a:defPPr>
                                  <a:defRPr lang="en-US"/>
                                </a:defPPr>
                                <a:lvl1pPr algn="l" rtl="0" fontAlgn="base">
                                  <a:spcBef>
                                    <a:spcPct val="0"/>
                                  </a:spcBef>
                                  <a:spcAft>
                                    <a:spcPct val="0"/>
                                  </a:spcAft>
                                  <a:defRPr sz="1000" kern="1200">
                                    <a:solidFill>
                                      <a:schemeClr val="tx1"/>
                                    </a:solidFill>
                                    <a:latin typeface="Times New Roman" charset="0"/>
                                    <a:ea typeface="+mn-ea"/>
                                    <a:cs typeface="+mn-cs"/>
                                  </a:defRPr>
                                </a:lvl1pPr>
                                <a:lvl2pPr marL="457200" algn="l" rtl="0" fontAlgn="base">
                                  <a:spcBef>
                                    <a:spcPct val="0"/>
                                  </a:spcBef>
                                  <a:spcAft>
                                    <a:spcPct val="0"/>
                                  </a:spcAft>
                                  <a:defRPr sz="1000" kern="1200">
                                    <a:solidFill>
                                      <a:schemeClr val="tx1"/>
                                    </a:solidFill>
                                    <a:latin typeface="Times New Roman" charset="0"/>
                                    <a:ea typeface="+mn-ea"/>
                                    <a:cs typeface="+mn-cs"/>
                                  </a:defRPr>
                                </a:lvl2pPr>
                                <a:lvl3pPr marL="914400" algn="l" rtl="0" fontAlgn="base">
                                  <a:spcBef>
                                    <a:spcPct val="0"/>
                                  </a:spcBef>
                                  <a:spcAft>
                                    <a:spcPct val="0"/>
                                  </a:spcAft>
                                  <a:defRPr sz="1000" kern="1200">
                                    <a:solidFill>
                                      <a:schemeClr val="tx1"/>
                                    </a:solidFill>
                                    <a:latin typeface="Times New Roman" charset="0"/>
                                    <a:ea typeface="+mn-ea"/>
                                    <a:cs typeface="+mn-cs"/>
                                  </a:defRPr>
                                </a:lvl3pPr>
                                <a:lvl4pPr marL="1371600" algn="l" rtl="0" fontAlgn="base">
                                  <a:spcBef>
                                    <a:spcPct val="0"/>
                                  </a:spcBef>
                                  <a:spcAft>
                                    <a:spcPct val="0"/>
                                  </a:spcAft>
                                  <a:defRPr sz="1000" kern="1200">
                                    <a:solidFill>
                                      <a:schemeClr val="tx1"/>
                                    </a:solidFill>
                                    <a:latin typeface="Times New Roman" charset="0"/>
                                    <a:ea typeface="+mn-ea"/>
                                    <a:cs typeface="+mn-cs"/>
                                  </a:defRPr>
                                </a:lvl4pPr>
                                <a:lvl5pPr marL="1828800" algn="l" rtl="0" fontAlgn="base">
                                  <a:spcBef>
                                    <a:spcPct val="0"/>
                                  </a:spcBef>
                                  <a:spcAft>
                                    <a:spcPct val="0"/>
                                  </a:spcAft>
                                  <a:defRPr sz="1000" kern="1200">
                                    <a:solidFill>
                                      <a:schemeClr val="tx1"/>
                                    </a:solidFill>
                                    <a:latin typeface="Times New Roman" charset="0"/>
                                    <a:ea typeface="+mn-ea"/>
                                    <a:cs typeface="+mn-cs"/>
                                  </a:defRPr>
                                </a:lvl5pPr>
                                <a:lvl6pPr marL="2286000" algn="l" defTabSz="914400" rtl="0" eaLnBrk="1" latinLnBrk="0" hangingPunct="1">
                                  <a:defRPr sz="1000" kern="1200">
                                    <a:solidFill>
                                      <a:schemeClr val="tx1"/>
                                    </a:solidFill>
                                    <a:latin typeface="Times New Roman" charset="0"/>
                                    <a:ea typeface="+mn-ea"/>
                                    <a:cs typeface="+mn-cs"/>
                                  </a:defRPr>
                                </a:lvl6pPr>
                                <a:lvl7pPr marL="2743200" algn="l" defTabSz="914400" rtl="0" eaLnBrk="1" latinLnBrk="0" hangingPunct="1">
                                  <a:defRPr sz="1000" kern="1200">
                                    <a:solidFill>
                                      <a:schemeClr val="tx1"/>
                                    </a:solidFill>
                                    <a:latin typeface="Times New Roman" charset="0"/>
                                    <a:ea typeface="+mn-ea"/>
                                    <a:cs typeface="+mn-cs"/>
                                  </a:defRPr>
                                </a:lvl7pPr>
                                <a:lvl8pPr marL="3200400" algn="l" defTabSz="914400" rtl="0" eaLnBrk="1" latinLnBrk="0" hangingPunct="1">
                                  <a:defRPr sz="1000" kern="1200">
                                    <a:solidFill>
                                      <a:schemeClr val="tx1"/>
                                    </a:solidFill>
                                    <a:latin typeface="Times New Roman" charset="0"/>
                                    <a:ea typeface="+mn-ea"/>
                                    <a:cs typeface="+mn-cs"/>
                                  </a:defRPr>
                                </a:lvl8pPr>
                                <a:lvl9pPr marL="3657600" algn="l" defTabSz="914400" rtl="0" eaLnBrk="1" latinLnBrk="0" hangingPunct="1">
                                  <a:defRPr sz="1000" kern="1200">
                                    <a:solidFill>
                                      <a:schemeClr val="tx1"/>
                                    </a:solidFill>
                                    <a:latin typeface="Times New Roman" charset="0"/>
                                    <a:ea typeface="+mn-ea"/>
                                    <a:cs typeface="+mn-cs"/>
                                  </a:defRPr>
                                </a:lvl9pPr>
                              </a:lstStyle>
                              <a:p>
                                <a:r>
                                  <a:rPr lang="en-US" sz="1600" dirty="0" smtClean="0">
                                    <a:latin typeface="Arial" pitchFamily="34" charset="0"/>
                                    <a:cs typeface="Arial" pitchFamily="34" charset="0"/>
                                  </a:rPr>
                                  <a:t>Percent</a:t>
                                </a:r>
                                <a:endParaRPr lang="en-US" sz="1600" dirty="0">
                                  <a:latin typeface="Arial" pitchFamily="34" charset="0"/>
                                  <a:cs typeface="Arial" pitchFamily="34" charset="0"/>
                                </a:endParaRPr>
                              </a:p>
                            </a:txBody>
                            <a:useSpRect/>
                          </a:txSp>
                        </a:sp>
                      </lc:lockedCanvas>
                    </a:graphicData>
                  </a:graphic>
                </wp:inline>
              </w:drawing>
            </w:r>
          </w:p>
          <w:p w:rsidR="00EA51FC" w:rsidRPr="00EA51FC" w:rsidRDefault="00EA51FC" w:rsidP="00EA51FC">
            <w:pPr>
              <w:rPr>
                <w:b/>
              </w:rPr>
            </w:pPr>
          </w:p>
        </w:tc>
      </w:tr>
    </w:tbl>
    <w:p w:rsidR="000B56A7" w:rsidRDefault="000B56A7" w:rsidP="00EA51FC">
      <w:pPr>
        <w:jc w:val="center"/>
        <w:rPr>
          <w:b/>
          <w:color w:val="0070C0"/>
          <w:sz w:val="28"/>
          <w:szCs w:val="28"/>
        </w:rPr>
        <w:sectPr w:rsidR="000B56A7" w:rsidSect="000B56A7">
          <w:type w:val="continuous"/>
          <w:pgSz w:w="12240" w:h="15840"/>
          <w:pgMar w:top="1080" w:right="1080" w:bottom="1080" w:left="1080" w:header="720" w:footer="720" w:gutter="0"/>
          <w:cols w:num="2" w:space="720"/>
          <w:docGrid w:linePitch="360"/>
        </w:sect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88"/>
      </w:tblGrid>
      <w:tr w:rsidR="00EA51FC" w:rsidTr="006631FA">
        <w:tc>
          <w:tcPr>
            <w:tcW w:w="10188" w:type="dxa"/>
            <w:shd w:val="clear" w:color="auto" w:fill="C6D9F1" w:themeFill="text2" w:themeFillTint="33"/>
          </w:tcPr>
          <w:p w:rsidR="00EA51FC" w:rsidRPr="00B57ADD" w:rsidRDefault="00EA51FC" w:rsidP="00EA51FC">
            <w:pPr>
              <w:jc w:val="center"/>
              <w:rPr>
                <w:b/>
                <w:color w:val="0070C0"/>
                <w:sz w:val="28"/>
                <w:szCs w:val="28"/>
              </w:rPr>
            </w:pPr>
            <w:r w:rsidRPr="00B57ADD">
              <w:rPr>
                <w:b/>
                <w:color w:val="0070C0"/>
                <w:sz w:val="28"/>
                <w:szCs w:val="28"/>
              </w:rPr>
              <w:lastRenderedPageBreak/>
              <w:t>Where do we want to be?</w:t>
            </w:r>
          </w:p>
        </w:tc>
      </w:tr>
      <w:tr w:rsidR="00EA51FC" w:rsidTr="006631FA">
        <w:tc>
          <w:tcPr>
            <w:tcW w:w="10188" w:type="dxa"/>
            <w:shd w:val="clear" w:color="auto" w:fill="FFFFFF" w:themeFill="background1"/>
          </w:tcPr>
          <w:p w:rsidR="005168DF" w:rsidRDefault="005168DF" w:rsidP="005168DF">
            <w:pPr>
              <w:rPr>
                <w:bCs/>
              </w:rPr>
            </w:pPr>
            <w:r>
              <w:rPr>
                <w:bCs/>
              </w:rPr>
              <w:t>By 2016</w:t>
            </w:r>
            <w:r w:rsidR="002D7F24">
              <w:rPr>
                <w:bCs/>
              </w:rPr>
              <w:t>,</w:t>
            </w:r>
          </w:p>
          <w:p w:rsidR="001D2347" w:rsidRPr="001D2347" w:rsidRDefault="001D2347" w:rsidP="001D2347">
            <w:pPr>
              <w:numPr>
                <w:ilvl w:val="0"/>
                <w:numId w:val="1"/>
              </w:numPr>
              <w:rPr>
                <w:bCs/>
              </w:rPr>
            </w:pPr>
            <w:r w:rsidRPr="001D2347">
              <w:rPr>
                <w:bCs/>
              </w:rPr>
              <w:t xml:space="preserve">Decrease teen motor vehicle death rates to 10.5 per </w:t>
            </w:r>
            <w:r w:rsidR="005168DF">
              <w:rPr>
                <w:bCs/>
              </w:rPr>
              <w:t>100,000 teens ages 15-19</w:t>
            </w:r>
            <w:r w:rsidR="002D7F24">
              <w:rPr>
                <w:bCs/>
              </w:rPr>
              <w:t>; and</w:t>
            </w:r>
          </w:p>
          <w:p w:rsidR="001D2347" w:rsidRPr="001D2347" w:rsidRDefault="001D2347" w:rsidP="001D2347">
            <w:pPr>
              <w:numPr>
                <w:ilvl w:val="0"/>
                <w:numId w:val="1"/>
              </w:numPr>
              <w:rPr>
                <w:bCs/>
              </w:rPr>
            </w:pPr>
            <w:r w:rsidRPr="001D2347">
              <w:rPr>
                <w:bCs/>
              </w:rPr>
              <w:t>Increase the use of seat belts from 82</w:t>
            </w:r>
            <w:r w:rsidR="005168DF">
              <w:rPr>
                <w:bCs/>
              </w:rPr>
              <w:t>.1 percent to 90 percent</w:t>
            </w:r>
            <w:r w:rsidRPr="001D2347">
              <w:rPr>
                <w:bCs/>
              </w:rPr>
              <w:t>.</w:t>
            </w:r>
          </w:p>
          <w:p w:rsidR="00EA51FC" w:rsidRDefault="00EA51FC"/>
          <w:p w:rsidR="00EA51FC" w:rsidRDefault="00EA51FC"/>
          <w:p w:rsidR="00EA51FC" w:rsidRDefault="00EA51FC"/>
          <w:p w:rsidR="006631FA" w:rsidRDefault="006631FA"/>
          <w:p w:rsidR="00DC3D7B" w:rsidRPr="00EA51FC" w:rsidRDefault="00DC3D7B">
            <w:pPr>
              <w:rPr>
                <w:b/>
              </w:rPr>
            </w:pPr>
          </w:p>
        </w:tc>
      </w:tr>
      <w:tr w:rsidR="00B57ADD" w:rsidTr="006631FA">
        <w:tc>
          <w:tcPr>
            <w:tcW w:w="10188" w:type="dxa"/>
            <w:shd w:val="clear" w:color="auto" w:fill="C6D9F1" w:themeFill="text2" w:themeFillTint="33"/>
          </w:tcPr>
          <w:p w:rsidR="00B57ADD" w:rsidRPr="00B57ADD" w:rsidRDefault="00DC3D7B" w:rsidP="00565F62">
            <w:pPr>
              <w:jc w:val="center"/>
              <w:rPr>
                <w:b/>
                <w:color w:val="0070C0"/>
                <w:sz w:val="28"/>
                <w:szCs w:val="28"/>
              </w:rPr>
            </w:pPr>
            <w:r>
              <w:rPr>
                <w:b/>
                <w:color w:val="0070C0"/>
                <w:sz w:val="28"/>
                <w:szCs w:val="28"/>
              </w:rPr>
              <w:lastRenderedPageBreak/>
              <w:t xml:space="preserve">What </w:t>
            </w:r>
            <w:r w:rsidR="00565F62">
              <w:rPr>
                <w:b/>
                <w:color w:val="0070C0"/>
                <w:sz w:val="28"/>
                <w:szCs w:val="28"/>
              </w:rPr>
              <w:t>is being done</w:t>
            </w:r>
            <w:r>
              <w:rPr>
                <w:b/>
                <w:color w:val="0070C0"/>
                <w:sz w:val="28"/>
                <w:szCs w:val="28"/>
              </w:rPr>
              <w:t>?</w:t>
            </w:r>
          </w:p>
        </w:tc>
      </w:tr>
      <w:tr w:rsidR="00B57ADD" w:rsidTr="006631FA">
        <w:tc>
          <w:tcPr>
            <w:tcW w:w="10188" w:type="dxa"/>
            <w:shd w:val="clear" w:color="auto" w:fill="FFFFFF" w:themeFill="background1"/>
          </w:tcPr>
          <w:p w:rsidR="001D2347" w:rsidRPr="001D2347" w:rsidRDefault="001D2347" w:rsidP="001D2347">
            <w:pPr>
              <w:rPr>
                <w:bCs/>
              </w:rPr>
            </w:pPr>
            <w:r w:rsidRPr="001D2347">
              <w:rPr>
                <w:bCs/>
              </w:rPr>
              <w:t>The Colorado Department of Public Health and Environment’s Injury, Suicide and Violence Prevention Unit has a five-year grant from the Centers for Disease Control and Prevention to promote evidence-based policy strategies proven to save lives, reduce injury and reduce public costs. In order to be in line with national best practices, Colorado should consider the following:</w:t>
            </w:r>
          </w:p>
          <w:p w:rsidR="001D2347" w:rsidRPr="001D2347" w:rsidRDefault="001D2347" w:rsidP="001D2347">
            <w:pPr>
              <w:numPr>
                <w:ilvl w:val="0"/>
                <w:numId w:val="2"/>
              </w:numPr>
              <w:rPr>
                <w:bCs/>
              </w:rPr>
            </w:pPr>
            <w:r w:rsidRPr="001D2347">
              <w:rPr>
                <w:bCs/>
              </w:rPr>
              <w:t xml:space="preserve">Implementing a primary enforcement seatbelt law that covers all seating positions and all ages. </w:t>
            </w:r>
          </w:p>
          <w:p w:rsidR="001D2347" w:rsidRPr="001D2347" w:rsidRDefault="001D2347" w:rsidP="001D2347">
            <w:pPr>
              <w:numPr>
                <w:ilvl w:val="0"/>
                <w:numId w:val="2"/>
              </w:numPr>
              <w:rPr>
                <w:bCs/>
              </w:rPr>
            </w:pPr>
            <w:r w:rsidRPr="001D2347">
              <w:rPr>
                <w:bCs/>
              </w:rPr>
              <w:t xml:space="preserve">Strengthening and simplifying the existing graduated drivers licensing (GDL) law to help young drivers gain experience under lower-risk conditions: </w:t>
            </w:r>
          </w:p>
          <w:p w:rsidR="001D2347" w:rsidRPr="001D2347" w:rsidRDefault="001D2347" w:rsidP="001D2347">
            <w:pPr>
              <w:numPr>
                <w:ilvl w:val="0"/>
                <w:numId w:val="3"/>
              </w:numPr>
              <w:rPr>
                <w:bCs/>
              </w:rPr>
            </w:pPr>
            <w:r w:rsidRPr="001D2347">
              <w:rPr>
                <w:bCs/>
              </w:rPr>
              <w:t>Increase the minimum age to receive a learner’s permit from 15 to 16.</w:t>
            </w:r>
          </w:p>
          <w:p w:rsidR="001D2347" w:rsidRPr="001D2347" w:rsidRDefault="001D2347" w:rsidP="001D2347">
            <w:pPr>
              <w:numPr>
                <w:ilvl w:val="0"/>
                <w:numId w:val="3"/>
              </w:numPr>
              <w:rPr>
                <w:bCs/>
              </w:rPr>
            </w:pPr>
            <w:r w:rsidRPr="001D2347">
              <w:rPr>
                <w:bCs/>
              </w:rPr>
              <w:t>Increase the minimum age to receive an intermediate license from 16 to 17.</w:t>
            </w:r>
          </w:p>
          <w:p w:rsidR="001D2347" w:rsidRPr="001D2347" w:rsidRDefault="001D2347" w:rsidP="001D2347">
            <w:pPr>
              <w:numPr>
                <w:ilvl w:val="0"/>
                <w:numId w:val="3"/>
              </w:numPr>
              <w:rPr>
                <w:bCs/>
              </w:rPr>
            </w:pPr>
            <w:r w:rsidRPr="001D2347">
              <w:rPr>
                <w:bCs/>
              </w:rPr>
              <w:t>Expand the restricted driving hours for an intermediate license to 10 p.m. through 5 a.m.</w:t>
            </w:r>
          </w:p>
          <w:p w:rsidR="00DC3D7B" w:rsidRDefault="00DC3D7B" w:rsidP="00530FE4"/>
          <w:p w:rsidR="00DC3D7B" w:rsidRDefault="00DC3D7B" w:rsidP="00530FE4"/>
          <w:p w:rsidR="00B57ADD" w:rsidRPr="00EA51FC" w:rsidRDefault="00B57ADD" w:rsidP="00530FE4">
            <w:pPr>
              <w:rPr>
                <w:b/>
              </w:rPr>
            </w:pPr>
          </w:p>
        </w:tc>
      </w:tr>
      <w:tr w:rsidR="00B57ADD" w:rsidTr="006631FA">
        <w:tc>
          <w:tcPr>
            <w:tcW w:w="10188" w:type="dxa"/>
            <w:shd w:val="clear" w:color="auto" w:fill="C6D9F1" w:themeFill="text2" w:themeFillTint="33"/>
          </w:tcPr>
          <w:p w:rsidR="00B57ADD" w:rsidRPr="00B57ADD" w:rsidRDefault="00DC3D7B" w:rsidP="00530FE4">
            <w:pPr>
              <w:jc w:val="center"/>
              <w:rPr>
                <w:b/>
                <w:color w:val="0070C0"/>
                <w:sz w:val="28"/>
                <w:szCs w:val="28"/>
              </w:rPr>
            </w:pPr>
            <w:r>
              <w:rPr>
                <w:b/>
                <w:color w:val="0070C0"/>
                <w:sz w:val="28"/>
                <w:szCs w:val="28"/>
              </w:rPr>
              <w:t>High-risk groups</w:t>
            </w:r>
          </w:p>
        </w:tc>
      </w:tr>
      <w:tr w:rsidR="00B57ADD" w:rsidTr="006631FA">
        <w:tc>
          <w:tcPr>
            <w:tcW w:w="10188" w:type="dxa"/>
            <w:shd w:val="clear" w:color="auto" w:fill="FFFFFF" w:themeFill="background1"/>
          </w:tcPr>
          <w:p w:rsidR="001D2347" w:rsidRPr="001D2347" w:rsidRDefault="001D2347" w:rsidP="001D2347">
            <w:pPr>
              <w:rPr>
                <w:bCs/>
              </w:rPr>
            </w:pPr>
            <w:r w:rsidRPr="001D2347">
              <w:rPr>
                <w:bCs/>
              </w:rPr>
              <w:t xml:space="preserve">Deaths and injuries from motor vehicle crashes disproportionately affect younger (ages 15-24) and older (ages 65+) adults. </w:t>
            </w:r>
          </w:p>
          <w:p w:rsidR="001D2347" w:rsidRPr="001D2347" w:rsidRDefault="001D2347" w:rsidP="001D2347">
            <w:pPr>
              <w:rPr>
                <w:bCs/>
              </w:rPr>
            </w:pPr>
          </w:p>
          <w:p w:rsidR="00B57ADD" w:rsidRPr="001D2347" w:rsidRDefault="001D2347" w:rsidP="00530FE4">
            <w:pPr>
              <w:rPr>
                <w:bCs/>
              </w:rPr>
            </w:pPr>
            <w:r w:rsidRPr="001D2347">
              <w:rPr>
                <w:bCs/>
              </w:rPr>
              <w:t>People who choose not to wear a seatbelt while riding in a vehicle are at higher risk of injury and death in a motor vehicle crash. Adults ages 18-34 are less likely to wear seatbelts than adults 35 or older. Men are 10 percent less likely to wear seatbelts than women. In Colorado, truck drivers are less likely to wear seatbelts than drivers of other types of vehicles. Additionally, adults who live in rural areas of Colorado have lower seatbelt use rates than those living in urban or suburban areas.</w:t>
            </w:r>
          </w:p>
          <w:p w:rsidR="00B57ADD" w:rsidRDefault="00B57ADD" w:rsidP="00530FE4"/>
          <w:p w:rsidR="00B57ADD" w:rsidRDefault="00B57ADD" w:rsidP="00530FE4"/>
          <w:p w:rsidR="00B57ADD" w:rsidRDefault="00B57ADD" w:rsidP="00530FE4"/>
          <w:p w:rsidR="00B57ADD" w:rsidRDefault="00B57ADD" w:rsidP="00530FE4"/>
          <w:p w:rsidR="00B57ADD" w:rsidRDefault="00B57ADD" w:rsidP="00530FE4"/>
          <w:p w:rsidR="00B57ADD" w:rsidRPr="00EA51FC" w:rsidRDefault="00B57ADD" w:rsidP="00530FE4">
            <w:pPr>
              <w:rPr>
                <w:b/>
              </w:rPr>
            </w:pPr>
          </w:p>
        </w:tc>
      </w:tr>
      <w:tr w:rsidR="00B57ADD" w:rsidTr="006631FA">
        <w:tc>
          <w:tcPr>
            <w:tcW w:w="10188" w:type="dxa"/>
            <w:shd w:val="clear" w:color="auto" w:fill="C6D9F1" w:themeFill="text2" w:themeFillTint="33"/>
          </w:tcPr>
          <w:p w:rsidR="00B57ADD" w:rsidRPr="00B57ADD" w:rsidRDefault="00DC3D7B" w:rsidP="00530FE4">
            <w:pPr>
              <w:jc w:val="center"/>
              <w:rPr>
                <w:b/>
                <w:color w:val="0070C0"/>
                <w:sz w:val="28"/>
                <w:szCs w:val="28"/>
              </w:rPr>
            </w:pPr>
            <w:r>
              <w:rPr>
                <w:b/>
                <w:color w:val="0070C0"/>
                <w:sz w:val="28"/>
                <w:szCs w:val="28"/>
              </w:rPr>
              <w:t>Underlying causes</w:t>
            </w:r>
          </w:p>
        </w:tc>
      </w:tr>
      <w:tr w:rsidR="00B57ADD" w:rsidTr="006631FA">
        <w:tc>
          <w:tcPr>
            <w:tcW w:w="10188" w:type="dxa"/>
            <w:shd w:val="clear" w:color="auto" w:fill="FFFFFF" w:themeFill="background1"/>
          </w:tcPr>
          <w:p w:rsidR="001D2347" w:rsidRPr="001D2347" w:rsidRDefault="001D2347" w:rsidP="001D2347">
            <w:pPr>
              <w:rPr>
                <w:bCs/>
              </w:rPr>
            </w:pPr>
            <w:r w:rsidRPr="001D2347">
              <w:rPr>
                <w:bCs/>
              </w:rPr>
              <w:t>Two factors contributing to the high motor vehicle crash rates for young drivers are inexperience and risk-taking. A recommended intervention to address this problem is to strengthen graduated driver licensing laws. The Insurance Institute for Highway Safety estimates teen motor vehicle deaths can be reduced by 34 percent if Colorado increases the driving age to 17 and expands the curfew for teen drivers.</w:t>
            </w:r>
          </w:p>
          <w:p w:rsidR="001D2347" w:rsidRPr="001D2347" w:rsidRDefault="001D2347" w:rsidP="001D2347">
            <w:pPr>
              <w:rPr>
                <w:bCs/>
              </w:rPr>
            </w:pPr>
          </w:p>
          <w:p w:rsidR="001D2347" w:rsidRPr="001D2347" w:rsidRDefault="001D2347" w:rsidP="001D2347">
            <w:pPr>
              <w:rPr>
                <w:bCs/>
              </w:rPr>
            </w:pPr>
            <w:r w:rsidRPr="001D2347">
              <w:rPr>
                <w:bCs/>
              </w:rPr>
              <w:t>Lack of seatbelt use is an underlying cause for many motor vehi</w:t>
            </w:r>
            <w:r w:rsidR="005168DF">
              <w:rPr>
                <w:bCs/>
              </w:rPr>
              <w:t>cle injuries and deaths. S</w:t>
            </w:r>
            <w:r w:rsidRPr="001D2347">
              <w:rPr>
                <w:bCs/>
              </w:rPr>
              <w:t>eatbelt use is the most effective way to save lives and reduce injuries in a crash. Increasing Colorado’s overall seatbelt use rate to 90 percent would save an estimated $16.4 million annually in reduced medical costs for hospitalizations resulting from motor vehicle-related injuries.</w:t>
            </w:r>
          </w:p>
          <w:p w:rsidR="00DC3D7B" w:rsidRDefault="00DC3D7B" w:rsidP="00530FE4"/>
          <w:p w:rsidR="006631FA" w:rsidRDefault="006631FA" w:rsidP="00530FE4"/>
          <w:p w:rsidR="00B57ADD" w:rsidRPr="00EA51FC" w:rsidRDefault="00B57ADD" w:rsidP="00530FE4">
            <w:pPr>
              <w:rPr>
                <w:b/>
              </w:rPr>
            </w:pPr>
          </w:p>
        </w:tc>
      </w:tr>
    </w:tbl>
    <w:p w:rsidR="00392F2C" w:rsidRDefault="00392F2C" w:rsidP="00B57ADD"/>
    <w:sectPr w:rsidR="00392F2C" w:rsidSect="000B56A7">
      <w:type w:val="continuous"/>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0D" w:rsidRDefault="0036760D" w:rsidP="003A56E8">
      <w:pPr>
        <w:spacing w:after="0" w:line="240" w:lineRule="auto"/>
      </w:pPr>
      <w:r>
        <w:separator/>
      </w:r>
    </w:p>
  </w:endnote>
  <w:endnote w:type="continuationSeparator" w:id="0">
    <w:p w:rsidR="0036760D" w:rsidRDefault="0036760D" w:rsidP="003A5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96" w:rsidRDefault="00970C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0188"/>
    </w:tblGrid>
    <w:tr w:rsidR="00970C96" w:rsidTr="006631FA">
      <w:tc>
        <w:tcPr>
          <w:tcW w:w="10188" w:type="dxa"/>
          <w:tcBorders>
            <w:top w:val="nil"/>
            <w:left w:val="nil"/>
            <w:bottom w:val="nil"/>
            <w:right w:val="nil"/>
          </w:tcBorders>
          <w:shd w:val="clear" w:color="auto" w:fill="365F91" w:themeFill="accent1" w:themeFillShade="BF"/>
        </w:tcPr>
        <w:p w:rsidR="00970C96" w:rsidRPr="006631FA" w:rsidRDefault="00970C96" w:rsidP="006631FA">
          <w:pPr>
            <w:pStyle w:val="Footer"/>
            <w:spacing w:before="120"/>
            <w:jc w:val="center"/>
            <w:rPr>
              <w:b/>
              <w:color w:val="FFFFFF" w:themeColor="background1"/>
              <w:sz w:val="24"/>
              <w:szCs w:val="24"/>
            </w:rPr>
          </w:pPr>
          <w:r w:rsidRPr="00572066">
            <w:rPr>
              <w:noProof/>
            </w:rPr>
            <w:drawing>
              <wp:inline distT="0" distB="0" distL="0" distR="0">
                <wp:extent cx="122941" cy="123825"/>
                <wp:effectExtent l="19050" t="0" r="0" b="0"/>
                <wp:docPr id="2" name="Picture 3" descr="http://content.mycutegraphics.com/graphics/star/white-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mycutegraphics.com/graphics/star/white-star.png"/>
                        <pic:cNvPicPr>
                          <a:picLocks noChangeAspect="1" noChangeArrowheads="1"/>
                        </pic:cNvPicPr>
                      </pic:nvPicPr>
                      <pic:blipFill>
                        <a:blip r:embed="rId1"/>
                        <a:srcRect/>
                        <a:stretch>
                          <a:fillRect/>
                        </a:stretch>
                      </pic:blipFill>
                      <pic:spPr bwMode="auto">
                        <a:xfrm>
                          <a:off x="0" y="0"/>
                          <a:ext cx="122941" cy="123825"/>
                        </a:xfrm>
                        <a:prstGeom prst="rect">
                          <a:avLst/>
                        </a:prstGeom>
                        <a:noFill/>
                        <a:ln w="9525">
                          <a:noFill/>
                          <a:miter lim="800000"/>
                          <a:headEnd/>
                          <a:tailEnd/>
                        </a:ln>
                      </pic:spPr>
                    </pic:pic>
                  </a:graphicData>
                </a:graphic>
              </wp:inline>
            </w:drawing>
          </w:r>
          <w:r>
            <w:rPr>
              <w:b/>
              <w:color w:val="FFFFFF" w:themeColor="background1"/>
              <w:sz w:val="24"/>
              <w:szCs w:val="24"/>
            </w:rPr>
            <w:t xml:space="preserve">  </w:t>
          </w:r>
          <w:r w:rsidRPr="006631FA">
            <w:rPr>
              <w:b/>
              <w:color w:val="FFFFFF" w:themeColor="background1"/>
              <w:sz w:val="24"/>
              <w:szCs w:val="24"/>
            </w:rPr>
            <w:t>Colorado’s 10 Winnable Battles</w:t>
          </w:r>
          <w:r>
            <w:rPr>
              <w:b/>
              <w:color w:val="FFFFFF" w:themeColor="background1"/>
              <w:sz w:val="24"/>
              <w:szCs w:val="24"/>
            </w:rPr>
            <w:t xml:space="preserve"> </w:t>
          </w:r>
          <w:r w:rsidRPr="00572066">
            <w:rPr>
              <w:b/>
              <w:noProof/>
              <w:color w:val="FFFFFF" w:themeColor="background1"/>
              <w:sz w:val="24"/>
              <w:szCs w:val="24"/>
            </w:rPr>
            <w:drawing>
              <wp:inline distT="0" distB="0" distL="0" distR="0">
                <wp:extent cx="122941" cy="123825"/>
                <wp:effectExtent l="19050" t="0" r="0" b="0"/>
                <wp:docPr id="1" name="Picture 3" descr="http://content.mycutegraphics.com/graphics/star/white-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mycutegraphics.com/graphics/star/white-star.png"/>
                        <pic:cNvPicPr>
                          <a:picLocks noChangeAspect="1" noChangeArrowheads="1"/>
                        </pic:cNvPicPr>
                      </pic:nvPicPr>
                      <pic:blipFill>
                        <a:blip r:embed="rId1"/>
                        <a:srcRect/>
                        <a:stretch>
                          <a:fillRect/>
                        </a:stretch>
                      </pic:blipFill>
                      <pic:spPr bwMode="auto">
                        <a:xfrm>
                          <a:off x="0" y="0"/>
                          <a:ext cx="122941" cy="123825"/>
                        </a:xfrm>
                        <a:prstGeom prst="rect">
                          <a:avLst/>
                        </a:prstGeom>
                        <a:noFill/>
                        <a:ln w="9525">
                          <a:noFill/>
                          <a:miter lim="800000"/>
                          <a:headEnd/>
                          <a:tailEnd/>
                        </a:ln>
                      </pic:spPr>
                    </pic:pic>
                  </a:graphicData>
                </a:graphic>
              </wp:inline>
            </w:drawing>
          </w:r>
        </w:p>
        <w:p w:rsidR="00970C96" w:rsidRPr="001E4E9D" w:rsidRDefault="00970C96" w:rsidP="006631FA">
          <w:pPr>
            <w:pStyle w:val="Footer"/>
            <w:jc w:val="center"/>
            <w:rPr>
              <w:b/>
              <w:color w:val="FFFFFF" w:themeColor="background1"/>
            </w:rPr>
          </w:pPr>
        </w:p>
        <w:p w:rsidR="00970C96" w:rsidRPr="001E4E9D" w:rsidRDefault="00970C96" w:rsidP="006631FA">
          <w:pPr>
            <w:pStyle w:val="Footer"/>
            <w:jc w:val="center"/>
            <w:rPr>
              <w:b/>
              <w:color w:val="FFFFFF" w:themeColor="background1"/>
              <w:sz w:val="18"/>
              <w:szCs w:val="18"/>
            </w:rPr>
          </w:pPr>
          <w:r w:rsidRPr="001E4E9D">
            <w:rPr>
              <w:b/>
              <w:color w:val="FFFFFF" w:themeColor="background1"/>
              <w:sz w:val="18"/>
              <w:szCs w:val="18"/>
            </w:rPr>
            <w:t>Clean Air     Clean Water     Infectious Disease Prevention     Injury Prevention</w:t>
          </w:r>
        </w:p>
        <w:p w:rsidR="00970C96" w:rsidRPr="001E4E9D" w:rsidRDefault="00970C96" w:rsidP="006631FA">
          <w:pPr>
            <w:pStyle w:val="Footer"/>
            <w:jc w:val="center"/>
            <w:rPr>
              <w:b/>
              <w:color w:val="FFFFFF" w:themeColor="background1"/>
              <w:sz w:val="18"/>
              <w:szCs w:val="18"/>
            </w:rPr>
          </w:pPr>
          <w:r w:rsidRPr="001E4E9D">
            <w:rPr>
              <w:b/>
              <w:color w:val="FFFFFF" w:themeColor="background1"/>
              <w:sz w:val="18"/>
              <w:szCs w:val="18"/>
            </w:rPr>
            <w:t xml:space="preserve">Mental Health and Substance Abuse     Obesity   </w:t>
          </w:r>
          <w:r>
            <w:rPr>
              <w:b/>
              <w:color w:val="FFFFFF" w:themeColor="background1"/>
              <w:sz w:val="18"/>
              <w:szCs w:val="18"/>
            </w:rPr>
            <w:t xml:space="preserve">  Oral Health     Safe Food    </w:t>
          </w:r>
          <w:r w:rsidRPr="001E4E9D">
            <w:rPr>
              <w:b/>
              <w:color w:val="FFFFFF" w:themeColor="background1"/>
              <w:sz w:val="18"/>
              <w:szCs w:val="18"/>
            </w:rPr>
            <w:t xml:space="preserve"> Tobacco     Unintended Pregnancy</w:t>
          </w:r>
        </w:p>
        <w:p w:rsidR="00970C96" w:rsidRDefault="00970C96" w:rsidP="001E4E9D">
          <w:pPr>
            <w:pStyle w:val="Footer"/>
            <w:tabs>
              <w:tab w:val="clear" w:pos="9360"/>
              <w:tab w:val="left" w:pos="5040"/>
              <w:tab w:val="left" w:pos="5760"/>
            </w:tabs>
          </w:pPr>
          <w:r>
            <w:tab/>
          </w:r>
          <w:r>
            <w:tab/>
          </w:r>
          <w:r>
            <w:tab/>
          </w:r>
          <w:r>
            <w:tab/>
          </w:r>
        </w:p>
      </w:tc>
    </w:tr>
  </w:tbl>
  <w:p w:rsidR="00970C96" w:rsidRDefault="00970C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96" w:rsidRDefault="00970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0D" w:rsidRDefault="0036760D" w:rsidP="003A56E8">
      <w:pPr>
        <w:spacing w:after="0" w:line="240" w:lineRule="auto"/>
      </w:pPr>
      <w:r>
        <w:separator/>
      </w:r>
    </w:p>
  </w:footnote>
  <w:footnote w:type="continuationSeparator" w:id="0">
    <w:p w:rsidR="0036760D" w:rsidRDefault="0036760D" w:rsidP="003A5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96" w:rsidRDefault="00970C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96" w:rsidRDefault="00970C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96" w:rsidRDefault="00970C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0341"/>
    <w:multiLevelType w:val="hybridMultilevel"/>
    <w:tmpl w:val="F8BE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43382"/>
    <w:multiLevelType w:val="hybridMultilevel"/>
    <w:tmpl w:val="23C24D32"/>
    <w:lvl w:ilvl="0" w:tplc="F974944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5B0C75"/>
    <w:multiLevelType w:val="hybridMultilevel"/>
    <w:tmpl w:val="286E5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4578">
      <o:colormenu v:ext="edit" fillcolor="none [2894]"/>
    </o:shapedefaults>
  </w:hdrShapeDefaults>
  <w:footnotePr>
    <w:footnote w:id="-1"/>
    <w:footnote w:id="0"/>
  </w:footnotePr>
  <w:endnotePr>
    <w:endnote w:id="-1"/>
    <w:endnote w:id="0"/>
  </w:endnotePr>
  <w:compat/>
  <w:rsids>
    <w:rsidRoot w:val="00EA51FC"/>
    <w:rsid w:val="00004F5A"/>
    <w:rsid w:val="000B56A7"/>
    <w:rsid w:val="000B67F7"/>
    <w:rsid w:val="00104004"/>
    <w:rsid w:val="001D2347"/>
    <w:rsid w:val="001E4E9D"/>
    <w:rsid w:val="0028536B"/>
    <w:rsid w:val="002A6829"/>
    <w:rsid w:val="002D7F24"/>
    <w:rsid w:val="0036760D"/>
    <w:rsid w:val="00392F2C"/>
    <w:rsid w:val="003A56E8"/>
    <w:rsid w:val="003C5F4A"/>
    <w:rsid w:val="004103C5"/>
    <w:rsid w:val="00416FA9"/>
    <w:rsid w:val="00482792"/>
    <w:rsid w:val="005168DF"/>
    <w:rsid w:val="00530FE4"/>
    <w:rsid w:val="00565F62"/>
    <w:rsid w:val="00570527"/>
    <w:rsid w:val="00572066"/>
    <w:rsid w:val="005C1330"/>
    <w:rsid w:val="005E4314"/>
    <w:rsid w:val="006631FA"/>
    <w:rsid w:val="008C39AE"/>
    <w:rsid w:val="008E3A7C"/>
    <w:rsid w:val="009512B3"/>
    <w:rsid w:val="00970C96"/>
    <w:rsid w:val="00A1761B"/>
    <w:rsid w:val="00B57ADD"/>
    <w:rsid w:val="00C61545"/>
    <w:rsid w:val="00CA5ACF"/>
    <w:rsid w:val="00D50442"/>
    <w:rsid w:val="00DC3D7B"/>
    <w:rsid w:val="00DE578A"/>
    <w:rsid w:val="00E17D50"/>
    <w:rsid w:val="00EA51FC"/>
    <w:rsid w:val="00F65F17"/>
    <w:rsid w:val="00FC3562"/>
    <w:rsid w:val="00FC6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1FC"/>
    <w:rPr>
      <w:rFonts w:ascii="Tahoma" w:hAnsi="Tahoma" w:cs="Tahoma"/>
      <w:sz w:val="16"/>
      <w:szCs w:val="16"/>
    </w:rPr>
  </w:style>
  <w:style w:type="paragraph" w:styleId="Header">
    <w:name w:val="header"/>
    <w:basedOn w:val="Normal"/>
    <w:link w:val="HeaderChar"/>
    <w:uiPriority w:val="99"/>
    <w:semiHidden/>
    <w:unhideWhenUsed/>
    <w:rsid w:val="003A56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6E8"/>
  </w:style>
  <w:style w:type="paragraph" w:styleId="Footer">
    <w:name w:val="footer"/>
    <w:basedOn w:val="Normal"/>
    <w:link w:val="FooterChar"/>
    <w:uiPriority w:val="99"/>
    <w:semiHidden/>
    <w:unhideWhenUsed/>
    <w:rsid w:val="003A56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6E8"/>
  </w:style>
  <w:style w:type="character" w:styleId="Hyperlink">
    <w:name w:val="Hyperlink"/>
    <w:basedOn w:val="DefaultParagraphFont"/>
    <w:uiPriority w:val="99"/>
    <w:unhideWhenUsed/>
    <w:rsid w:val="002853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lmyers\My%20Documents\Dropbox\Winnables\Winnable%20number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chemeClr val="tx1"/>
                </a:solidFill>
                <a:latin typeface="Arial" pitchFamily="34" charset="0"/>
                <a:ea typeface="+mn-ea"/>
                <a:cs typeface="Arial" pitchFamily="34" charset="0"/>
              </a:defRPr>
            </a:pPr>
            <a:r>
              <a:rPr lang="en-US" sz="1710" b="1" i="0" baseline="0" dirty="0">
                <a:solidFill>
                  <a:schemeClr val="tx1"/>
                </a:solidFill>
              </a:rPr>
              <a:t>Motor vehicle death rates* of Colorado teens aged 15-19</a:t>
            </a:r>
            <a:endParaRPr lang="en-US" sz="1710" dirty="0">
              <a:solidFill>
                <a:schemeClr val="tx1"/>
              </a:solidFill>
            </a:endParaRP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chemeClr val="tx1"/>
                </a:solidFill>
                <a:latin typeface="Arial" pitchFamily="34" charset="0"/>
                <a:ea typeface="+mn-ea"/>
                <a:cs typeface="Arial" pitchFamily="34" charset="0"/>
              </a:defRPr>
            </a:pPr>
            <a:endParaRPr lang="en-US" sz="1400" dirty="0">
              <a:solidFill>
                <a:schemeClr val="tx1"/>
              </a:solidFill>
              <a:latin typeface="Arial" pitchFamily="34" charset="0"/>
              <a:cs typeface="Arial" pitchFamily="34" charset="0"/>
            </a:endParaRPr>
          </a:p>
        </c:rich>
      </c:tx>
    </c:title>
    <c:plotArea>
      <c:layout>
        <c:manualLayout>
          <c:layoutTarget val="inner"/>
          <c:xMode val="edge"/>
          <c:yMode val="edge"/>
          <c:x val="0.15371454169190449"/>
          <c:y val="0.11403552548889175"/>
          <c:w val="0.8217128171478566"/>
          <c:h val="0.73239173228346877"/>
        </c:manualLayout>
      </c:layout>
      <c:lineChart>
        <c:grouping val="standard"/>
        <c:ser>
          <c:idx val="0"/>
          <c:order val="0"/>
          <c:tx>
            <c:strRef>
              <c:f>Sheet1!$A$17</c:f>
              <c:strCache>
                <c:ptCount val="1"/>
                <c:pt idx="0">
                  <c:v>Teens 15-19 MV Deaths</c:v>
                </c:pt>
              </c:strCache>
            </c:strRef>
          </c:tx>
          <c:dLbls>
            <c:dLblPos val="l"/>
            <c:showVal val="1"/>
          </c:dLbls>
          <c:cat>
            <c:numRef>
              <c:f>Sheet1!$B$16:$L$16</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Sheet1!$B$17:$L$17</c:f>
            </c:numRef>
          </c:val>
        </c:ser>
        <c:ser>
          <c:idx val="1"/>
          <c:order val="1"/>
          <c:tx>
            <c:strRef>
              <c:f>Sheet1!$A$18</c:f>
              <c:strCache>
                <c:ptCount val="1"/>
                <c:pt idx="0">
                  <c:v>Teens 15-19 MV Death Rate</c:v>
                </c:pt>
              </c:strCache>
            </c:strRef>
          </c:tx>
          <c:spPr>
            <a:ln w="36195">
              <a:solidFill>
                <a:srgbClr val="FF0000"/>
              </a:solidFill>
            </a:ln>
          </c:spPr>
          <c:marker>
            <c:spPr>
              <a:solidFill>
                <a:srgbClr val="FF0000"/>
              </a:solidFill>
              <a:ln>
                <a:solidFill>
                  <a:srgbClr val="FF0000"/>
                </a:solidFill>
              </a:ln>
            </c:spPr>
          </c:marker>
          <c:dLbls>
            <c:delete val="1"/>
          </c:dLbls>
          <c:cat>
            <c:numRef>
              <c:f>Sheet1!$B$16:$L$16</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Sheet1!$B$18:$L$18</c:f>
              <c:numCache>
                <c:formatCode>0.0</c:formatCode>
                <c:ptCount val="11"/>
                <c:pt idx="0">
                  <c:v>22.8</c:v>
                </c:pt>
                <c:pt idx="1">
                  <c:v>30.3</c:v>
                </c:pt>
                <c:pt idx="2">
                  <c:v>28.7</c:v>
                </c:pt>
                <c:pt idx="3">
                  <c:v>29.5</c:v>
                </c:pt>
                <c:pt idx="4">
                  <c:v>31.9</c:v>
                </c:pt>
                <c:pt idx="5">
                  <c:v>19.3</c:v>
                </c:pt>
                <c:pt idx="6">
                  <c:v>19.600000000000001</c:v>
                </c:pt>
                <c:pt idx="7" formatCode="General">
                  <c:v>17.8</c:v>
                </c:pt>
                <c:pt idx="8" formatCode="General">
                  <c:v>14.8</c:v>
                </c:pt>
                <c:pt idx="9" formatCode="General">
                  <c:v>13.4</c:v>
                </c:pt>
                <c:pt idx="10" formatCode="General">
                  <c:v>12.1</c:v>
                </c:pt>
              </c:numCache>
            </c:numRef>
          </c:val>
        </c:ser>
        <c:dLbls>
          <c:showVal val="1"/>
        </c:dLbls>
        <c:marker val="1"/>
        <c:axId val="143061760"/>
        <c:axId val="143063680"/>
      </c:lineChart>
      <c:catAx>
        <c:axId val="143061760"/>
        <c:scaling>
          <c:orientation val="minMax"/>
        </c:scaling>
        <c:axPos val="b"/>
        <c:numFmt formatCode="General" sourceLinked="1"/>
        <c:tickLblPos val="nextTo"/>
        <c:txPr>
          <a:bodyPr/>
          <a:lstStyle/>
          <a:p>
            <a:pPr>
              <a:defRPr sz="1710" b="1">
                <a:latin typeface="Arial" pitchFamily="34" charset="0"/>
                <a:cs typeface="Arial" pitchFamily="34" charset="0"/>
              </a:defRPr>
            </a:pPr>
            <a:endParaRPr lang="en-US"/>
          </a:p>
        </c:txPr>
        <c:crossAx val="143063680"/>
        <c:crosses val="autoZero"/>
        <c:auto val="1"/>
        <c:lblAlgn val="ctr"/>
        <c:lblOffset val="100"/>
      </c:catAx>
      <c:valAx>
        <c:axId val="143063680"/>
        <c:scaling>
          <c:orientation val="minMax"/>
        </c:scaling>
        <c:axPos val="l"/>
        <c:majorGridlines/>
        <c:title>
          <c:tx>
            <c:rich>
              <a:bodyPr rot="-5400000" vert="horz"/>
              <a:lstStyle/>
              <a:p>
                <a:pPr>
                  <a:defRPr sz="1710">
                    <a:latin typeface="Arial" pitchFamily="34" charset="0"/>
                    <a:cs typeface="Arial" pitchFamily="34" charset="0"/>
                  </a:defRPr>
                </a:pPr>
                <a:r>
                  <a:rPr lang="en-US" sz="1710">
                    <a:latin typeface="Arial" pitchFamily="34" charset="0"/>
                    <a:cs typeface="Arial" pitchFamily="34" charset="0"/>
                  </a:rPr>
                  <a:t>Rate Per 100,000</a:t>
                </a:r>
              </a:p>
            </c:rich>
          </c:tx>
        </c:title>
        <c:numFmt formatCode="0.0" sourceLinked="1"/>
        <c:tickLblPos val="nextTo"/>
        <c:txPr>
          <a:bodyPr/>
          <a:lstStyle/>
          <a:p>
            <a:pPr>
              <a:defRPr sz="1710" b="1">
                <a:latin typeface="Arial" pitchFamily="34" charset="0"/>
                <a:cs typeface="Arial" pitchFamily="34" charset="0"/>
              </a:defRPr>
            </a:pPr>
            <a:endParaRPr lang="en-US"/>
          </a:p>
        </c:txPr>
        <c:crossAx val="143061760"/>
        <c:crosses val="autoZero"/>
        <c:crossBetween val="between"/>
      </c:valAx>
      <c:spPr>
        <a:ln w="3175">
          <a:solidFill>
            <a:schemeClr val="tx1"/>
          </a:solidFill>
        </a:ln>
      </c:spPr>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axId val="142152832"/>
        <c:axId val="102368384"/>
      </c:barChart>
      <c:catAx>
        <c:axId val="142152832"/>
        <c:scaling>
          <c:orientation val="minMax"/>
        </c:scaling>
        <c:axPos val="b"/>
        <c:numFmt formatCode="General" sourceLinked="1"/>
        <c:tickLblPos val="nextTo"/>
        <c:txPr>
          <a:bodyPr/>
          <a:lstStyle/>
          <a:p>
            <a:pPr>
              <a:defRPr sz="1600" b="1">
                <a:latin typeface="Arial" pitchFamily="34" charset="0"/>
                <a:cs typeface="Arial" pitchFamily="34" charset="0"/>
              </a:defRPr>
            </a:pPr>
            <a:endParaRPr lang="en-US"/>
          </a:p>
        </c:txPr>
        <c:crossAx val="102368384"/>
        <c:crosses val="autoZero"/>
        <c:auto val="1"/>
        <c:lblAlgn val="ctr"/>
        <c:lblOffset val="100"/>
      </c:catAx>
      <c:valAx>
        <c:axId val="102368384"/>
        <c:scaling>
          <c:orientation val="minMax"/>
        </c:scaling>
        <c:axPos val="l"/>
        <c:majorGridlines/>
        <c:numFmt formatCode="General" sourceLinked="1"/>
        <c:tickLblPos val="nextTo"/>
        <c:txPr>
          <a:bodyPr/>
          <a:lstStyle/>
          <a:p>
            <a:pPr>
              <a:defRPr sz="1600" b="1">
                <a:latin typeface="Arial" pitchFamily="34" charset="0"/>
                <a:cs typeface="Arial" pitchFamily="34" charset="0"/>
              </a:defRPr>
            </a:pPr>
            <a:endParaRPr lang="en-US"/>
          </a:p>
        </c:txPr>
        <c:crossAx val="142152832"/>
        <c:crosses val="autoZero"/>
        <c:crossBetween val="between"/>
      </c:valAx>
    </c:plotArea>
    <c:plotVisOnly val="1"/>
  </c:chart>
  <c:txPr>
    <a:bodyPr/>
    <a:lstStyle/>
    <a:p>
      <a:pPr>
        <a:defRPr sz="18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spPr>
            <a:solidFill>
              <a:schemeClr val="accent1"/>
            </a:solidFill>
            <a:ln>
              <a:solidFill>
                <a:schemeClr val="accent1"/>
              </a:solidFill>
            </a:ln>
          </c:spPr>
          <c:dLbls>
            <c:dLbl>
              <c:idx val="0"/>
              <c:dLblPos val="outEnd"/>
              <c:showVal val="1"/>
            </c:dLbl>
            <c:dLbl>
              <c:idx val="1"/>
              <c:dLblPos val="outEnd"/>
              <c:showVal val="1"/>
            </c:dLbl>
            <c:dLbl>
              <c:idx val="2"/>
              <c:dLblPos val="outEnd"/>
              <c:showVal val="1"/>
            </c:dLbl>
            <c:dLbl>
              <c:idx val="3"/>
              <c:dLblPos val="outEnd"/>
              <c:showVal val="1"/>
            </c:dLbl>
            <c:dLbl>
              <c:idx val="4"/>
              <c:dLblPos val="outEnd"/>
              <c:showVal val="1"/>
            </c:dLbl>
            <c:delete val="1"/>
            <c:txPr>
              <a:bodyPr/>
              <a:lstStyle/>
              <a:p>
                <a:pPr>
                  <a:defRPr>
                    <a:latin typeface="Arial" pitchFamily="34" charset="0"/>
                    <a:cs typeface="Arial" pitchFamily="34" charset="0"/>
                  </a:defRPr>
                </a:pPr>
                <a:endParaRPr lang="en-US"/>
              </a:p>
            </c:txPr>
            <c:dLblPos val="outEnd"/>
          </c:dLbls>
          <c:cat>
            <c:numRef>
              <c:f>Sheet1!$A$2:$A$6</c:f>
              <c:numCache>
                <c:formatCode>General</c:formatCode>
                <c:ptCount val="5"/>
                <c:pt idx="0">
                  <c:v>2006</c:v>
                </c:pt>
                <c:pt idx="1">
                  <c:v>2007</c:v>
                </c:pt>
                <c:pt idx="2">
                  <c:v>2008</c:v>
                </c:pt>
                <c:pt idx="3">
                  <c:v>2009</c:v>
                </c:pt>
                <c:pt idx="4">
                  <c:v>2010</c:v>
                </c:pt>
              </c:numCache>
            </c:numRef>
          </c:cat>
          <c:val>
            <c:numRef>
              <c:f>Sheet1!$B$2:$B$6</c:f>
              <c:numCache>
                <c:formatCode>General</c:formatCode>
                <c:ptCount val="5"/>
                <c:pt idx="0">
                  <c:v>80.3</c:v>
                </c:pt>
                <c:pt idx="1">
                  <c:v>81.099999999999994</c:v>
                </c:pt>
                <c:pt idx="2">
                  <c:v>81.7</c:v>
                </c:pt>
                <c:pt idx="3">
                  <c:v>80.3</c:v>
                </c:pt>
                <c:pt idx="4">
                  <c:v>82.9</c:v>
                </c:pt>
              </c:numCache>
            </c:numRef>
          </c:val>
        </c:ser>
        <c:axId val="142042624"/>
        <c:axId val="142044160"/>
      </c:barChart>
      <c:catAx>
        <c:axId val="142042624"/>
        <c:scaling>
          <c:orientation val="minMax"/>
        </c:scaling>
        <c:axPos val="b"/>
        <c:numFmt formatCode="General" sourceLinked="1"/>
        <c:tickLblPos val="nextTo"/>
        <c:txPr>
          <a:bodyPr/>
          <a:lstStyle/>
          <a:p>
            <a:pPr>
              <a:defRPr>
                <a:latin typeface="Arial" pitchFamily="34" charset="0"/>
                <a:cs typeface="Arial" pitchFamily="34" charset="0"/>
              </a:defRPr>
            </a:pPr>
            <a:endParaRPr lang="en-US"/>
          </a:p>
        </c:txPr>
        <c:crossAx val="142044160"/>
        <c:crosses val="autoZero"/>
        <c:auto val="1"/>
        <c:lblAlgn val="ctr"/>
        <c:lblOffset val="100"/>
      </c:catAx>
      <c:valAx>
        <c:axId val="142044160"/>
        <c:scaling>
          <c:orientation val="minMax"/>
          <c:max val="100"/>
          <c:min val="0"/>
        </c:scaling>
        <c:axPos val="l"/>
        <c:majorGridlines/>
        <c:numFmt formatCode="General" sourceLinked="1"/>
        <c:tickLblPos val="nextTo"/>
        <c:txPr>
          <a:bodyPr/>
          <a:lstStyle/>
          <a:p>
            <a:pPr>
              <a:defRPr>
                <a:latin typeface="Arial" pitchFamily="34" charset="0"/>
                <a:cs typeface="Arial" pitchFamily="34" charset="0"/>
              </a:defRPr>
            </a:pPr>
            <a:endParaRPr lang="en-US"/>
          </a:p>
        </c:txPr>
        <c:crossAx val="142042624"/>
        <c:crosses val="autoZero"/>
        <c:crossBetween val="between"/>
        <c:majorUnit val="20"/>
      </c:valAx>
    </c:plotArea>
    <c:plotVisOnly val="1"/>
  </c:chart>
  <c:txPr>
    <a:bodyPr/>
    <a:lstStyle/>
    <a:p>
      <a:pPr>
        <a:defRPr sz="1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lsturm</dc:creator>
  <cp:keywords/>
  <dc:description/>
  <cp:lastModifiedBy>lmyers</cp:lastModifiedBy>
  <cp:revision>2</cp:revision>
  <dcterms:created xsi:type="dcterms:W3CDTF">2011-12-19T16:20:00Z</dcterms:created>
  <dcterms:modified xsi:type="dcterms:W3CDTF">2011-12-19T16:20:00Z</dcterms:modified>
</cp:coreProperties>
</file>